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8"/>
        <w:numPr>
          <w:ilvl w:val="0"/>
          <w:numId w:val="0"/>
        </w:numPr>
        <w:keepLines/>
        <w:keepNext/>
        <w:rPr>
          <w:bCs/>
        </w:rPr>
        <w:outlineLvl w:val="1"/>
      </w:pPr>
      <w:r>
        <w:rPr>
          <w:bCs/>
        </w:rPr>
      </w:r>
      <w:r>
        <w:rPr>
          <w:bCs/>
        </w:rPr>
      </w:r>
    </w:p>
    <w:p>
      <w:pPr>
        <w:pStyle w:val="618"/>
        <w:numPr>
          <w:ilvl w:val="0"/>
          <w:numId w:val="0"/>
        </w:numPr>
        <w:jc w:val="right"/>
        <w:keepLines/>
        <w:keepNext/>
        <w:rPr>
          <w:bCs/>
        </w:rPr>
        <w:outlineLvl w:val="1"/>
      </w:pPr>
      <w:r>
        <w:rPr>
          <w:bCs/>
        </w:rPr>
      </w:r>
      <w:r>
        <w:rPr>
          <w:bCs/>
        </w:rPr>
      </w:r>
    </w:p>
    <w:p>
      <w:pPr>
        <w:pStyle w:val="618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</w:r>
      <w:r>
        <w:rPr>
          <w:rFonts w:ascii="Calibri" w:hAnsi="Calibri" w:cs="Calibri"/>
          <w:bCs/>
        </w:rPr>
      </w:r>
    </w:p>
    <w:tbl>
      <w:tblPr>
        <w:tblW w:w="10511" w:type="dxa"/>
        <w:tblInd w:w="-491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408"/>
        <w:gridCol w:w="5103"/>
      </w:tblGrid>
      <w:tr>
        <w:tblPrEx/>
        <w:trPr>
          <w:trHeight w:val="2773"/>
        </w:trPr>
        <w:tc>
          <w:tcPr>
            <w:shd w:val="clear" w:color="auto" w:fill="ffffff"/>
            <w:tcW w:w="5408" w:type="dxa"/>
            <w:textDirection w:val="lrTb"/>
            <w:noWrap w:val="false"/>
          </w:tcPr>
          <w:p>
            <w:pPr>
              <w:pStyle w:val="618"/>
              <w:numPr>
                <w:ilvl w:val="0"/>
                <w:numId w:val="0"/>
              </w:numPr>
              <w:outlineLvl w:val="0"/>
            </w:pPr>
            <w:r/>
            <w:r/>
          </w:p>
          <w:p>
            <w:pPr>
              <w:pStyle w:val="618"/>
              <w:numPr>
                <w:ilvl w:val="0"/>
                <w:numId w:val="0"/>
              </w:numPr>
              <w:outlineLvl w:val="0"/>
            </w:pPr>
            <w:r/>
            <w:r/>
          </w:p>
        </w:tc>
        <w:tc>
          <w:tcPr>
            <w:tcW w:w="5103" w:type="dxa"/>
            <w:textDirection w:val="lrTb"/>
            <w:noWrap w:val="false"/>
          </w:tcPr>
          <w:p>
            <w:pPr>
              <w:pStyle w:val="618"/>
              <w:numPr>
                <w:ilvl w:val="0"/>
                <w:numId w:val="0"/>
              </w:numPr>
              <w:shd w:val="clear" w:color="auto" w:fill="ffffff"/>
              <w:outlineLvl w:val="0"/>
            </w:pPr>
            <w:r>
              <w:t xml:space="preserve">УТВЕРЖДЕНО</w:t>
            </w:r>
            <w:r/>
          </w:p>
          <w:p>
            <w:pPr>
              <w:pStyle w:val="618"/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pStyle w:val="618"/>
              <w:shd w:val="clear" w:color="auto" w:fill="ffffff"/>
            </w:pPr>
            <w:r>
              <w:t xml:space="preserve">приказом заведующего</w:t>
            </w:r>
            <w:r/>
          </w:p>
          <w:p>
            <w:pPr>
              <w:pStyle w:val="618"/>
              <w:shd w:val="clear" w:color="auto" w:fill="ffffff"/>
            </w:pPr>
            <w:r>
              <w:t xml:space="preserve">Муниципального дошкольного образовательного учреждения  Будинского детского сада  </w:t>
            </w:r>
            <w:r/>
          </w:p>
          <w:p>
            <w:pPr>
              <w:pStyle w:val="618"/>
              <w:shd w:val="clear" w:color="auto" w:fill="ffffff"/>
              <w:rPr>
                <w:u w:val="single"/>
              </w:rPr>
            </w:pPr>
            <w:r>
              <w:rPr>
                <w:u w:val="single"/>
              </w:rPr>
              <w:t xml:space="preserve">от «30» августа  2024 г. № 17</w:t>
            </w:r>
            <w:r>
              <w:rPr>
                <w:u w:val="single"/>
              </w:rPr>
            </w:r>
          </w:p>
          <w:p>
            <w:pPr>
              <w:pStyle w:val="618"/>
              <w:shd w:val="clear" w:color="auto" w:fill="ffffff"/>
            </w:pPr>
            <w:r>
              <w:t xml:space="preserve">___________________________О.А.Волкова.</w:t>
            </w:r>
            <w:r/>
          </w:p>
          <w:p>
            <w:pPr>
              <w:pStyle w:val="618"/>
              <w:numPr>
                <w:ilvl w:val="0"/>
                <w:numId w:val="0"/>
              </w:numPr>
              <w:outlineLvl w:val="0"/>
            </w:pPr>
            <w:r/>
            <w:r/>
          </w:p>
          <w:p>
            <w:pPr>
              <w:pStyle w:val="618"/>
              <w:numPr>
                <w:ilvl w:val="0"/>
                <w:numId w:val="0"/>
              </w:numPr>
              <w:rPr>
                <w:u w:val="single"/>
              </w:rPr>
              <w:outlineLvl w:val="0"/>
            </w:pP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</w:tr>
    </w:tbl>
    <w:p>
      <w:pPr>
        <w:pStyle w:val="618"/>
        <w:rPr>
          <w:rStyle w:val="631"/>
          <w:b w:val="0"/>
          <w:color w:val="000000"/>
        </w:rPr>
      </w:pPr>
      <w:r/>
      <w:r>
        <w:rPr>
          <w:rStyle w:val="631"/>
          <w:b w:val="0"/>
          <w:color w:val="000000"/>
        </w:rPr>
      </w:r>
    </w:p>
    <w:p>
      <w:pPr>
        <w:pStyle w:val="618"/>
        <w:numPr>
          <w:ilvl w:val="0"/>
          <w:numId w:val="0"/>
        </w:numPr>
        <w:jc w:val="center"/>
        <w:rPr>
          <w:rStyle w:val="631"/>
          <w:color w:val="000000"/>
          <w:szCs w:val="36"/>
        </w:rPr>
        <w:outlineLvl w:val="0"/>
      </w:pPr>
      <w:r>
        <w:rPr>
          <w:rStyle w:val="631"/>
          <w:color w:val="000000"/>
          <w:szCs w:val="36"/>
        </w:rPr>
        <w:t xml:space="preserve">ПОЛОЖЕНИЕ</w:t>
      </w:r>
      <w:r>
        <w:rPr>
          <w:rStyle w:val="631"/>
          <w:color w:val="000000"/>
          <w:szCs w:val="36"/>
        </w:rPr>
      </w:r>
    </w:p>
    <w:p>
      <w:pPr>
        <w:pStyle w:val="618"/>
        <w:numPr>
          <w:ilvl w:val="0"/>
          <w:numId w:val="0"/>
        </w:numPr>
        <w:jc w:val="center"/>
        <w:rPr>
          <w:rStyle w:val="631"/>
          <w:color w:val="000000"/>
          <w:szCs w:val="36"/>
        </w:rPr>
        <w:outlineLvl w:val="0"/>
      </w:pPr>
      <w:r>
        <w:rPr>
          <w:rStyle w:val="631"/>
          <w:color w:val="000000"/>
          <w:szCs w:val="36"/>
        </w:rPr>
        <w:t xml:space="preserve">О БРАКЕРАЖЕ ПИЩИ, О БРАКЕРАЖНОЙ КОМИССИИ</w:t>
      </w:r>
      <w:r>
        <w:rPr>
          <w:rStyle w:val="631"/>
          <w:color w:val="000000"/>
          <w:szCs w:val="36"/>
        </w:rPr>
      </w:r>
    </w:p>
    <w:p>
      <w:pPr>
        <w:pStyle w:val="618"/>
        <w:jc w:val="center"/>
      </w:pPr>
      <w:r>
        <w:rPr>
          <w:b/>
          <w:szCs w:val="28"/>
        </w:rPr>
        <w:t xml:space="preserve">Муниципального  дошкольного образовательного учреждения Будинский детский сад                                  </w:t>
      </w:r>
      <w:r/>
    </w:p>
    <w:p>
      <w:pPr>
        <w:pStyle w:val="618"/>
        <w:jc w:val="center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</w:p>
    <w:p>
      <w:pPr>
        <w:pStyle w:val="618"/>
        <w:jc w:val="center"/>
        <w:rPr>
          <w:rStyle w:val="631"/>
          <w:b w:val="0"/>
          <w:color w:val="000000"/>
          <w:sz w:val="20"/>
          <w:szCs w:val="36"/>
        </w:rPr>
      </w:pPr>
      <w:r>
        <w:rPr>
          <w:b/>
          <w:szCs w:val="28"/>
        </w:rPr>
      </w:r>
      <w:r>
        <w:rPr>
          <w:rStyle w:val="631"/>
          <w:b w:val="0"/>
          <w:color w:val="000000"/>
          <w:sz w:val="20"/>
          <w:szCs w:val="36"/>
        </w:rPr>
      </w:r>
    </w:p>
    <w:p>
      <w:pPr>
        <w:pStyle w:val="618"/>
        <w:jc w:val="center"/>
      </w:pPr>
      <w:r>
        <w:rPr>
          <w:rStyle w:val="631"/>
          <w:color w:val="000000"/>
          <w:sz w:val="22"/>
          <w:szCs w:val="26"/>
        </w:rPr>
        <w:t xml:space="preserve">1. ОБЩИЕ ПОЛОЖЕНИЯ</w:t>
      </w:r>
      <w:r/>
    </w:p>
    <w:p>
      <w:pPr>
        <w:pStyle w:val="618"/>
        <w:jc w:val="both"/>
        <w:rPr>
          <w:rStyle w:val="631"/>
          <w:color w:val="000000"/>
          <w:sz w:val="26"/>
          <w:szCs w:val="26"/>
        </w:rPr>
      </w:pPr>
      <w:r/>
      <w:r>
        <w:rPr>
          <w:rStyle w:val="631"/>
          <w:color w:val="000000"/>
          <w:sz w:val="26"/>
          <w:szCs w:val="26"/>
        </w:rPr>
      </w:r>
    </w:p>
    <w:p>
      <w:pPr>
        <w:pStyle w:val="618"/>
        <w:jc w:val="both"/>
      </w:pPr>
      <w:r>
        <w:rPr>
          <w:sz w:val="26"/>
          <w:szCs w:val="26"/>
        </w:rPr>
        <w:t xml:space="preserve">1.1.</w:t>
      </w:r>
      <w:r>
        <w:rPr>
          <w:sz w:val="26"/>
          <w:szCs w:val="26"/>
        </w:rPr>
        <w:t xml:space="preserve"> В целях осуществления качественного и систематического контроля организации питания детей, качества доставляемых продуктов и соблюдения санитарно-гигиенических требований при приготовлении и раздаче пищи в МДОУ создается и действует бракеражная комиссия.</w:t>
      </w:r>
      <w:r/>
    </w:p>
    <w:p>
      <w:pPr>
        <w:pStyle w:val="618"/>
        <w:jc w:val="both"/>
      </w:pPr>
      <w:r>
        <w:rPr>
          <w:sz w:val="26"/>
          <w:szCs w:val="26"/>
        </w:rPr>
        <w:t xml:space="preserve">1.2. Бракеражная комиссия работает в тесном контакте с администрацией.</w:t>
      </w:r>
      <w:r/>
    </w:p>
    <w:p>
      <w:pPr>
        <w:pStyle w:val="618"/>
        <w:jc w:val="both"/>
      </w:pPr>
      <w:r>
        <w:rPr>
          <w:sz w:val="26"/>
          <w:szCs w:val="26"/>
        </w:rPr>
        <w:t xml:space="preserve">1.3. Все блюда и кулинарные изделия, изготовляемые на пищеблоке МДОУ, подлежат обязательному бракеражу по мере их готовности. Бракераж пищи проводится до начала отпуска каждой вновь приготовленной партии.</w:t>
      </w:r>
      <w:r/>
    </w:p>
    <w:p>
      <w:pPr>
        <w:pStyle w:val="6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 Учреждение имеет Бракеражные журналы:</w:t>
      </w:r>
      <w:r>
        <w:rPr>
          <w:sz w:val="26"/>
          <w:szCs w:val="26"/>
        </w:rPr>
      </w:r>
    </w:p>
    <w:p>
      <w:pPr>
        <w:pStyle w:val="618"/>
        <w:jc w:val="both"/>
      </w:pPr>
      <w:r>
        <w:rPr>
          <w:sz w:val="26"/>
          <w:szCs w:val="26"/>
        </w:rPr>
        <w:t xml:space="preserve">- Журнал бракеража готовой кулинарной продукции;</w:t>
      </w:r>
      <w:r/>
    </w:p>
    <w:p>
      <w:pPr>
        <w:pStyle w:val="618"/>
        <w:jc w:val="both"/>
      </w:pPr>
      <w:r>
        <w:rPr>
          <w:sz w:val="26"/>
          <w:szCs w:val="26"/>
        </w:rPr>
        <w:t xml:space="preserve">- Журнал бракеража поступающего продовольственного сырья и пищевых продуктов.</w:t>
      </w:r>
      <w:r/>
    </w:p>
    <w:p>
      <w:pPr>
        <w:pStyle w:val="6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1.5. Бракеражные журналы должны быть пронумерованы, прошнурованы и скреплены печатью учреждения.</w:t>
      </w:r>
      <w:r>
        <w:rPr>
          <w:sz w:val="26"/>
          <w:szCs w:val="26"/>
        </w:rPr>
      </w:r>
    </w:p>
    <w:p>
      <w:pPr>
        <w:pStyle w:val="618"/>
        <w:jc w:val="both"/>
      </w:pPr>
      <w:r>
        <w:rPr>
          <w:sz w:val="26"/>
          <w:szCs w:val="26"/>
        </w:rPr>
        <w:t xml:space="preserve">1.6. «Журнал бракеража готовой продукции» хранится у медицинского работника.</w:t>
      </w:r>
      <w:r/>
    </w:p>
    <w:p>
      <w:pPr>
        <w:pStyle w:val="618"/>
        <w:jc w:val="both"/>
      </w:pPr>
      <w:r>
        <w:rPr>
          <w:sz w:val="26"/>
          <w:szCs w:val="26"/>
        </w:rPr>
        <w:t xml:space="preserve">«Журнал бракеража поступающего продовольственного сырья</w:t>
      </w:r>
      <w:r>
        <w:t xml:space="preserve"> </w:t>
      </w:r>
      <w:r>
        <w:rPr>
          <w:sz w:val="26"/>
          <w:szCs w:val="26"/>
        </w:rPr>
        <w:t xml:space="preserve">и пищевых продуктов » хранится на складе и заполняется кладовщиком по мере поступления продовольственного сырья и пищевых продуктов.</w:t>
      </w:r>
      <w:r/>
    </w:p>
    <w:p>
      <w:pPr>
        <w:pStyle w:val="618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1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 ПОРЯДОК СОЗДАНИЯ БРАКЕРАЖНОЙ КОМИССИИ  И  ЕЁ СОСТАВ</w:t>
      </w:r>
      <w:r>
        <w:rPr>
          <w:b/>
          <w:sz w:val="26"/>
          <w:szCs w:val="26"/>
        </w:rPr>
      </w:r>
    </w:p>
    <w:p>
      <w:pPr>
        <w:pStyle w:val="61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6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Бракераж блюд и готовых кулинарных изделий производит бракеражная комиссия.</w:t>
      </w:r>
      <w:r>
        <w:rPr>
          <w:sz w:val="26"/>
          <w:szCs w:val="26"/>
        </w:rPr>
      </w:r>
    </w:p>
    <w:p>
      <w:pPr>
        <w:pStyle w:val="618"/>
        <w:jc w:val="both"/>
      </w:pPr>
      <w:r>
        <w:rPr>
          <w:sz w:val="26"/>
          <w:szCs w:val="26"/>
        </w:rPr>
        <w:t xml:space="preserve">2.2. Бракеражная комиссия создается  приказом заведующего МДОУ на начало учебного года.</w:t>
      </w:r>
      <w:r/>
    </w:p>
    <w:p>
      <w:pPr>
        <w:pStyle w:val="6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 Бракеражная комиссия состоит из 3 членов. В состав комиссии  входят:</w:t>
      </w:r>
      <w:r>
        <w:rPr>
          <w:sz w:val="26"/>
          <w:szCs w:val="26"/>
        </w:rPr>
      </w:r>
    </w:p>
    <w:p>
      <w:pPr>
        <w:pStyle w:val="618"/>
        <w:jc w:val="both"/>
      </w:pPr>
      <w:r>
        <w:rPr>
          <w:sz w:val="26"/>
          <w:szCs w:val="26"/>
        </w:rPr>
        <w:t xml:space="preserve">- заведующий ДОУ (председатель комиссии);</w:t>
      </w:r>
      <w:r/>
    </w:p>
    <w:p>
      <w:pPr>
        <w:pStyle w:val="618"/>
        <w:jc w:val="both"/>
      </w:pPr>
      <w:r>
        <w:rPr>
          <w:sz w:val="26"/>
          <w:szCs w:val="26"/>
        </w:rPr>
        <w:t xml:space="preserve">-  воспитатель;</w:t>
      </w:r>
      <w:r/>
    </w:p>
    <w:p>
      <w:pPr>
        <w:pStyle w:val="6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повар.</w:t>
      </w:r>
      <w:r>
        <w:rPr>
          <w:sz w:val="26"/>
          <w:szCs w:val="26"/>
        </w:rPr>
      </w:r>
    </w:p>
    <w:p>
      <w:pPr>
        <w:pStyle w:val="61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61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61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61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61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61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 ПОЛНОМОЧИЯ КОМИССИИ</w:t>
      </w:r>
      <w:r>
        <w:rPr>
          <w:b/>
          <w:sz w:val="26"/>
          <w:szCs w:val="26"/>
        </w:rPr>
      </w:r>
    </w:p>
    <w:p>
      <w:pPr>
        <w:pStyle w:val="61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6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Бракеражная комиссия учреждения:</w:t>
      </w:r>
      <w:r>
        <w:rPr>
          <w:sz w:val="26"/>
          <w:szCs w:val="26"/>
        </w:rPr>
      </w:r>
    </w:p>
    <w:p>
      <w:pPr>
        <w:pStyle w:val="618"/>
        <w:jc w:val="both"/>
      </w:pPr>
      <w:r>
        <w:rPr>
          <w:sz w:val="26"/>
          <w:szCs w:val="26"/>
        </w:rPr>
        <w:t xml:space="preserve">- осуществляет контроль соблюдения санитарно-гигиенических норм при транспортировке, доставке и разгрузке продуктов питания;</w:t>
      </w:r>
      <w:r/>
    </w:p>
    <w:p>
      <w:pPr>
        <w:pStyle w:val="618"/>
        <w:jc w:val="both"/>
      </w:pPr>
      <w:r>
        <w:rPr>
          <w:sz w:val="26"/>
          <w:szCs w:val="26"/>
        </w:rPr>
        <w:t xml:space="preserve">- проверяет на пригодность складские и другие помещения для хранения продуктов питания, а также условия их хранения;</w:t>
      </w:r>
      <w:r/>
    </w:p>
    <w:p>
      <w:pPr>
        <w:pStyle w:val="618"/>
        <w:jc w:val="both"/>
      </w:pPr>
      <w:r>
        <w:rPr>
          <w:sz w:val="26"/>
          <w:szCs w:val="26"/>
        </w:rPr>
        <w:t xml:space="preserve">- ежедневно следит за правильностью составления меню;</w:t>
      </w:r>
      <w:r/>
    </w:p>
    <w:p>
      <w:pPr>
        <w:pStyle w:val="618"/>
        <w:jc w:val="both"/>
      </w:pPr>
      <w:r>
        <w:rPr>
          <w:sz w:val="26"/>
          <w:szCs w:val="26"/>
        </w:rPr>
        <w:t xml:space="preserve">- контролирует организацию работы на пищеблоке;</w:t>
      </w:r>
      <w:r/>
    </w:p>
    <w:p>
      <w:pPr>
        <w:pStyle w:val="618"/>
        <w:jc w:val="both"/>
      </w:pPr>
      <w:r>
        <w:rPr>
          <w:sz w:val="26"/>
          <w:szCs w:val="26"/>
        </w:rPr>
        <w:t xml:space="preserve">- осуществляет контроль сроков реализации продуктов питания и качества приготовления пищи;</w:t>
      </w:r>
      <w:r/>
    </w:p>
    <w:p>
      <w:pPr>
        <w:pStyle w:val="618"/>
        <w:jc w:val="both"/>
      </w:pPr>
      <w:r>
        <w:rPr>
          <w:sz w:val="26"/>
          <w:szCs w:val="26"/>
        </w:rPr>
        <w:t xml:space="preserve">- проверяет соответствие пищи физиологическим потребностям детей в основных пищевых веществах;</w:t>
      </w:r>
      <w:r/>
    </w:p>
    <w:p>
      <w:pPr>
        <w:pStyle w:val="618"/>
        <w:jc w:val="both"/>
      </w:pPr>
      <w:r>
        <w:rPr>
          <w:sz w:val="26"/>
          <w:szCs w:val="26"/>
        </w:rPr>
        <w:t xml:space="preserve">- следит за соблюдением правил личной гигиены работниками пищеблока;</w:t>
      </w:r>
      <w:r/>
    </w:p>
    <w:p>
      <w:pPr>
        <w:pStyle w:val="618"/>
        <w:jc w:val="both"/>
      </w:pPr>
      <w:r>
        <w:rPr>
          <w:sz w:val="26"/>
          <w:szCs w:val="26"/>
        </w:rPr>
        <w:t xml:space="preserve">- периодически присутствует при закладке основных продуктов, проверяет выход блюд;</w:t>
      </w:r>
      <w:r/>
    </w:p>
    <w:p>
      <w:pPr>
        <w:pStyle w:val="6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проводит органолептическую оценку готовой пищи, т. е. о</w:t>
      </w:r>
      <w:r>
        <w:rPr>
          <w:sz w:val="26"/>
          <w:szCs w:val="26"/>
        </w:rPr>
        <w:t xml:space="preserve">пределяет ее цвет, запах, вкус, консистенцию, жесткость, сочность и т. д.; в соответствии с методикой проведения  с занесением результатов органолептической оценки в « Журнал бракеража готовой продукции» и заверяет оценку личными подписями членов комиссии.</w:t>
      </w:r>
      <w:r>
        <w:rPr>
          <w:sz w:val="26"/>
          <w:szCs w:val="26"/>
        </w:rPr>
      </w:r>
    </w:p>
    <w:p>
      <w:pPr>
        <w:pStyle w:val="6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имеет право приостановить выдачу готовой пищи на группы, в случае выявления каких-либо нарушений, до принятия необходимых мер по устранению причин замечаний.</w:t>
      </w:r>
      <w:r>
        <w:rPr>
          <w:sz w:val="26"/>
          <w:szCs w:val="26"/>
        </w:rPr>
      </w:r>
    </w:p>
    <w:p>
      <w:pPr>
        <w:pStyle w:val="618"/>
        <w:jc w:val="both"/>
      </w:pPr>
      <w:r>
        <w:rPr>
          <w:sz w:val="26"/>
          <w:szCs w:val="26"/>
        </w:rPr>
        <w:t xml:space="preserve">- при проведении бракеража комиссия руководствуется требованиями к технологии и качеству приготовления блюд и кулинарных изделий в соответствии с « Технологическими картами»</w:t>
      </w:r>
      <w:r/>
    </w:p>
    <w:p>
      <w:pPr>
        <w:pStyle w:val="6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проверяет соответствие объемов приготовленного питания объему разовых порций и количеству детей</w:t>
      </w:r>
      <w:r>
        <w:rPr>
          <w:sz w:val="26"/>
          <w:szCs w:val="26"/>
        </w:rPr>
      </w:r>
    </w:p>
    <w:p>
      <w:pPr>
        <w:pStyle w:val="61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4. ОЦЕНКА ОРГАНИЗАЦИИ ПИТАНИЯ В ДЕТСКОМ САДУ</w:t>
      </w:r>
      <w:r>
        <w:rPr>
          <w:b/>
          <w:sz w:val="26"/>
          <w:szCs w:val="26"/>
        </w:rPr>
      </w:r>
    </w:p>
    <w:p>
      <w:pPr>
        <w:pStyle w:val="61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6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 Оценка качества блю</w:t>
      </w:r>
      <w:r>
        <w:rPr>
          <w:sz w:val="26"/>
          <w:szCs w:val="26"/>
        </w:rPr>
        <w:t xml:space="preserve">д и кулинарных изделий  производится по органолептическим показателям:  вкусу, цвету и запаху, внешнему виду и консистенции. В зависимости от этих показателей даются оценки изделиям – « отлично», « хорошо», «удовлетворительно», «неудовлетворительно» (брак)</w:t>
      </w:r>
      <w:r>
        <w:rPr>
          <w:sz w:val="26"/>
          <w:szCs w:val="26"/>
        </w:rPr>
      </w:r>
    </w:p>
    <w:p>
      <w:pPr>
        <w:pStyle w:val="618"/>
        <w:jc w:val="both"/>
      </w:pPr>
      <w:r>
        <w:rPr>
          <w:sz w:val="26"/>
          <w:szCs w:val="26"/>
        </w:rPr>
        <w:t xml:space="preserve">4. 2. Оценка качества продукции заносится в бракеражный журнал до начал</w:t>
      </w:r>
      <w:r>
        <w:rPr>
          <w:sz w:val="26"/>
          <w:szCs w:val="26"/>
        </w:rPr>
        <w:t xml:space="preserve">а ее реализации. Выдача готовой пищи производится только после снятия пробы и записи в бракеражном журнале результатов оценки готовых блюд и разрешения их к выдаче. При этом в журнале необходимо отмечать результат пробы каждого блюда, а не рациона в целом.</w:t>
      </w:r>
      <w:r/>
    </w:p>
    <w:p>
      <w:pPr>
        <w:pStyle w:val="618"/>
        <w:jc w:val="both"/>
      </w:pPr>
      <w:r>
        <w:rPr>
          <w:sz w:val="26"/>
          <w:szCs w:val="26"/>
        </w:rPr>
        <w:t xml:space="preserve">В случае выявления каких-либо нарушений, замечаний бракеражная комиссия вправе приостановить выдачу готовой пищи на группы до принятия необходимых мер по устранению замечаний.</w:t>
      </w:r>
      <w:r/>
    </w:p>
    <w:p>
      <w:pPr>
        <w:pStyle w:val="61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5. ЗАКЛЮЧИТЕЛЬНЫЕ ПОЛОЖЕНИЯ</w:t>
      </w:r>
      <w:r>
        <w:rPr>
          <w:b/>
          <w:sz w:val="26"/>
          <w:szCs w:val="26"/>
        </w:rPr>
      </w:r>
    </w:p>
    <w:p>
      <w:pPr>
        <w:pStyle w:val="61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6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5.1. Члены бракеражной комиссии работают на добровольной основе.</w:t>
      </w:r>
      <w:r>
        <w:rPr>
          <w:sz w:val="26"/>
          <w:szCs w:val="26"/>
        </w:rPr>
      </w:r>
    </w:p>
    <w:p>
      <w:pPr>
        <w:pStyle w:val="618"/>
        <w:jc w:val="both"/>
      </w:pPr>
      <w:r>
        <w:rPr>
          <w:sz w:val="26"/>
          <w:szCs w:val="26"/>
        </w:rPr>
        <w:t xml:space="preserve">5.2.  Администрация МДОУ обязана содействовать деятельности бракеражной комиссии и принимать меры к устранению нарушений и замечаний, выявленных комиссией.</w:t>
      </w:r>
      <w:r/>
    </w:p>
    <w:p>
      <w:pPr>
        <w:pStyle w:val="618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18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18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18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18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</w:t>
      </w:r>
      <w:r>
        <w:rPr>
          <w:sz w:val="26"/>
          <w:szCs w:val="26"/>
        </w:rPr>
      </w:r>
    </w:p>
    <w:p>
      <w:pPr>
        <w:pStyle w:val="618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18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1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</w:pPr>
      <w:r/>
      <w:r/>
    </w:p>
    <w:p>
      <w:pPr>
        <w:pStyle w:val="618"/>
      </w:pPr>
      <w:r/>
      <w:r/>
    </w:p>
    <w:p>
      <w:pPr>
        <w:pStyle w:val="618"/>
      </w:pPr>
      <w:r/>
      <w:r/>
    </w:p>
    <w:p>
      <w:pPr>
        <w:pStyle w:val="618"/>
      </w:pPr>
      <w:r/>
      <w:r/>
    </w:p>
    <w:p>
      <w:pPr>
        <w:pStyle w:val="618"/>
      </w:pPr>
      <w:r/>
      <w:r/>
    </w:p>
    <w:p>
      <w:pPr>
        <w:pStyle w:val="618"/>
      </w:pPr>
      <w:r/>
      <w:r/>
    </w:p>
    <w:p>
      <w:pPr>
        <w:pStyle w:val="618"/>
      </w:pPr>
      <w:r/>
      <w:r/>
    </w:p>
    <w:sectPr>
      <w:footnotePr/>
      <w:endnotePr/>
      <w:type w:val="nextPage"/>
      <w:pgSz w:w="11906" w:h="16838" w:orient="portrait"/>
      <w:pgMar w:top="539" w:right="746" w:bottom="360" w:left="1080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extBookC;Liberation Mono"/>
  <w:font w:name="Tahoma">
    <w:panose1 w:val="020B0506030602030204"/>
  </w:font>
  <w:font w:name="Wingdings">
    <w:panose1 w:val="05010000000000000000"/>
  </w:font>
  <w:font w:name="Times New Roman Georgia;Times New Roman"/>
  <w:font w:name="Courier New">
    <w:panose1 w:val="02070409020205020404"/>
  </w:font>
  <w:font w:name="Symbol">
    <w:panose1 w:val="05010000000000000000"/>
  </w:font>
  <w:font w:name="Arial">
    <w:panose1 w:val="020B0604020202020204"/>
  </w:font>
  <w:font w:name="Segoe UI">
    <w:panose1 w:val="020B0502040504020204"/>
  </w:font>
  <w:font w:name="DejaVu Sans">
    <w:panose1 w:val="020B0603030804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pStyle w:val="61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11"/>
    <w:link w:val="619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8"/>
    <w:next w:val="61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8"/>
    <w:next w:val="61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8"/>
    <w:next w:val="61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8"/>
    <w:next w:val="61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8"/>
    <w:next w:val="61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8"/>
    <w:next w:val="61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8"/>
    <w:next w:val="61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8"/>
    <w:next w:val="61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8"/>
    <w:next w:val="61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8"/>
    <w:next w:val="61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8"/>
    <w:next w:val="61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8"/>
    <w:next w:val="61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character" w:styleId="47">
    <w:name w:val="Caption Char"/>
    <w:basedOn w:val="637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8"/>
    <w:next w:val="61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8"/>
    <w:next w:val="61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8"/>
    <w:next w:val="61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8"/>
    <w:next w:val="61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8"/>
    <w:next w:val="61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8"/>
    <w:next w:val="61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8"/>
    <w:next w:val="61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8"/>
    <w:next w:val="61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8"/>
    <w:next w:val="61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8"/>
    <w:next w:val="618"/>
    <w:uiPriority w:val="99"/>
    <w:unhideWhenUsed/>
    <w:pPr>
      <w:spacing w:after="0" w:afterAutospacing="0"/>
    </w:pPr>
  </w:style>
  <w:style w:type="paragraph" w:styleId="618" w:default="1">
    <w:name w:val="Normal"/>
    <w:qFormat/>
    <w:pPr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619">
    <w:name w:val="Heading 1"/>
    <w:basedOn w:val="618"/>
    <w:next w:val="618"/>
    <w:qFormat/>
    <w:pPr>
      <w:numPr>
        <w:ilvl w:val="0"/>
        <w:numId w:val="1"/>
      </w:numPr>
      <w:jc w:val="both"/>
      <w:keepNext/>
      <w:spacing w:before="280" w:after="280"/>
      <w:outlineLvl w:val="0"/>
    </w:pPr>
    <w:rPr>
      <w:b/>
      <w:bCs/>
    </w:rPr>
  </w:style>
  <w:style w:type="character" w:styleId="620">
    <w:name w:val="WW8Num1z0"/>
    <w:qFormat/>
    <w:rPr>
      <w:rFonts w:ascii="Symbol" w:hAnsi="Symbol" w:cs="Symbol"/>
      <w:sz w:val="20"/>
    </w:rPr>
  </w:style>
  <w:style w:type="character" w:styleId="621">
    <w:name w:val="WW8Num1z1"/>
    <w:qFormat/>
    <w:rPr>
      <w:rFonts w:ascii="Courier New" w:hAnsi="Courier New" w:cs="Courier New"/>
      <w:sz w:val="20"/>
    </w:rPr>
  </w:style>
  <w:style w:type="character" w:styleId="622">
    <w:name w:val="WW8Num1z2"/>
    <w:qFormat/>
    <w:rPr>
      <w:rFonts w:ascii="Wingdings" w:hAnsi="Wingdings" w:cs="Wingdings"/>
      <w:sz w:val="20"/>
    </w:rPr>
  </w:style>
  <w:style w:type="character" w:styleId="623">
    <w:name w:val="WW8Num2z0"/>
    <w:qFormat/>
    <w:rPr>
      <w:rFonts w:ascii="Symbol" w:hAnsi="Symbol" w:cs="Symbol"/>
      <w:sz w:val="20"/>
    </w:rPr>
  </w:style>
  <w:style w:type="character" w:styleId="624">
    <w:name w:val="WW8Num2z1"/>
    <w:qFormat/>
    <w:rPr>
      <w:rFonts w:ascii="Courier New" w:hAnsi="Courier New" w:cs="Courier New"/>
      <w:sz w:val="20"/>
    </w:rPr>
  </w:style>
  <w:style w:type="character" w:styleId="625">
    <w:name w:val="WW8Num2z2"/>
    <w:qFormat/>
    <w:rPr>
      <w:rFonts w:ascii="Wingdings" w:hAnsi="Wingdings" w:cs="Wingdings"/>
      <w:sz w:val="20"/>
    </w:rPr>
  </w:style>
  <w:style w:type="character" w:styleId="626">
    <w:name w:val="WW8Num3z0"/>
    <w:qFormat/>
  </w:style>
  <w:style w:type="character" w:styleId="627">
    <w:name w:val="WW8Num4z0"/>
    <w:qFormat/>
    <w:rPr>
      <w:rFonts w:ascii="Symbol" w:hAnsi="Symbol" w:cs="Symbol"/>
      <w:sz w:val="20"/>
    </w:rPr>
  </w:style>
  <w:style w:type="character" w:styleId="628">
    <w:name w:val="WW8Num4z1"/>
    <w:qFormat/>
    <w:rPr>
      <w:rFonts w:ascii="Courier New" w:hAnsi="Courier New" w:cs="Courier New"/>
      <w:sz w:val="20"/>
    </w:rPr>
  </w:style>
  <w:style w:type="character" w:styleId="629">
    <w:name w:val="WW8Num4z2"/>
    <w:qFormat/>
    <w:rPr>
      <w:rFonts w:ascii="Wingdings" w:hAnsi="Wingdings" w:cs="Wingdings"/>
      <w:sz w:val="20"/>
    </w:rPr>
  </w:style>
  <w:style w:type="character" w:styleId="630">
    <w:name w:val="Основной шрифт абзаца"/>
    <w:qFormat/>
  </w:style>
  <w:style w:type="character" w:styleId="631">
    <w:name w:val="Strong"/>
    <w:qFormat/>
    <w:rPr>
      <w:b/>
      <w:bCs/>
    </w:rPr>
  </w:style>
  <w:style w:type="character" w:styleId="632">
    <w:name w:val="Hyperlink"/>
    <w:rPr>
      <w:rFonts w:cs="Times New Roman"/>
      <w:color w:val="0000ff"/>
      <w:u w:val="single"/>
    </w:rPr>
  </w:style>
  <w:style w:type="character" w:styleId="633">
    <w:name w:val="Текст выноски Знак"/>
    <w:qFormat/>
    <w:rPr>
      <w:rFonts w:ascii="Segoe UI" w:hAnsi="Segoe UI" w:cs="Segoe UI"/>
      <w:sz w:val="18"/>
      <w:szCs w:val="18"/>
    </w:rPr>
  </w:style>
  <w:style w:type="paragraph" w:styleId="634">
    <w:name w:val="Heading"/>
    <w:basedOn w:val="618"/>
    <w:next w:val="635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635">
    <w:name w:val="Body Text"/>
    <w:basedOn w:val="618"/>
    <w:rPr>
      <w:sz w:val="28"/>
    </w:rPr>
  </w:style>
  <w:style w:type="paragraph" w:styleId="636">
    <w:name w:val="List"/>
    <w:basedOn w:val="635"/>
  </w:style>
  <w:style w:type="paragraph" w:styleId="637">
    <w:name w:val="Caption"/>
    <w:basedOn w:val="618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638">
    <w:name w:val="Index"/>
    <w:basedOn w:val="618"/>
    <w:qFormat/>
    <w:pPr>
      <w:suppressLineNumbers/>
    </w:pPr>
  </w:style>
  <w:style w:type="paragraph" w:styleId="639">
    <w:name w:val="bigblueheading"/>
    <w:basedOn w:val="618"/>
    <w:qFormat/>
    <w:pPr>
      <w:ind w:right="138" w:firstLine="0"/>
    </w:pPr>
    <w:rPr>
      <w:rFonts w:ascii="Times New Roman Georgia;Times New Roman" w:hAnsi="Times New Roman Georgia;Times New Roman" w:cs="Times New Roman Georgia;Times New Roman"/>
      <w:color w:val="0369b3"/>
      <w:sz w:val="33"/>
      <w:szCs w:val="33"/>
    </w:rPr>
  </w:style>
  <w:style w:type="paragraph" w:styleId="640">
    <w:name w:val="Обычный (веб)"/>
    <w:basedOn w:val="618"/>
    <w:qFormat/>
    <w:pPr>
      <w:spacing w:before="280" w:after="280"/>
    </w:pPr>
  </w:style>
  <w:style w:type="paragraph" w:styleId="641">
    <w:name w:val="Схема документа"/>
    <w:basedOn w:val="618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642">
    <w:name w:val="ConsPlusCell"/>
    <w:qFormat/>
    <w:pPr>
      <w:widowControl w:val="off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643">
    <w:name w:val="07BODY-1st"/>
    <w:basedOn w:val="618"/>
    <w:qFormat/>
    <w:pPr>
      <w:ind w:left="567" w:right="567" w:firstLine="0"/>
      <w:jc w:val="both"/>
      <w:spacing w:line="215" w:lineRule="atLeast"/>
    </w:pPr>
    <w:rPr>
      <w:rFonts w:ascii="TextBookC;Liberation Mono" w:hAnsi="TextBookC;Liberation Mono" w:cs="TextBookC;Liberation Mono"/>
      <w:color w:val="000000"/>
      <w:sz w:val="18"/>
      <w:szCs w:val="18"/>
    </w:rPr>
  </w:style>
  <w:style w:type="paragraph" w:styleId="644">
    <w:name w:val="Текст выноски"/>
    <w:basedOn w:val="618"/>
    <w:qFormat/>
    <w:rPr>
      <w:rFonts w:ascii="Segoe UI" w:hAnsi="Segoe UI" w:cs="Segoe UI"/>
      <w:sz w:val="18"/>
      <w:szCs w:val="18"/>
    </w:rPr>
  </w:style>
  <w:style w:type="paragraph" w:styleId="645">
    <w:name w:val="Table Contents"/>
    <w:basedOn w:val="618"/>
    <w:qFormat/>
    <w:pPr>
      <w:widowControl w:val="off"/>
      <w:suppressLineNumbers/>
    </w:pPr>
  </w:style>
  <w:style w:type="paragraph" w:styleId="646">
    <w:name w:val="Table Heading"/>
    <w:basedOn w:val="645"/>
    <w:qFormat/>
    <w:pPr>
      <w:jc w:val="center"/>
      <w:suppressLineNumbers/>
    </w:pPr>
    <w:rPr>
      <w:b/>
      <w:bCs/>
    </w:rPr>
  </w:style>
  <w:style w:type="numbering" w:styleId="647">
    <w:name w:val="WW8Num1"/>
    <w:qFormat/>
  </w:style>
  <w:style w:type="numbering" w:styleId="648">
    <w:name w:val="WW8Num2"/>
    <w:qFormat/>
  </w:style>
  <w:style w:type="numbering" w:styleId="649">
    <w:name w:val="WW8Num3"/>
    <w:qFormat/>
  </w:style>
  <w:style w:type="numbering" w:styleId="650">
    <w:name w:val="WW8Num4"/>
    <w:qFormat/>
  </w:style>
  <w:style w:type="character" w:styleId="1035" w:default="1">
    <w:name w:val="Default Paragraph Font"/>
    <w:uiPriority w:val="1"/>
    <w:semiHidden/>
    <w:unhideWhenUsed/>
  </w:style>
  <w:style w:type="numbering" w:styleId="1036" w:default="1">
    <w:name w:val="No List"/>
    <w:uiPriority w:val="99"/>
    <w:semiHidden/>
    <w:unhideWhenUsed/>
  </w:style>
  <w:style w:type="table" w:styleId="103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бракеражной комиссии в ДОУ</dc:title>
  <dc:subject/>
  <dc:creator>Администратор</dc:creator>
  <cp:keywords/>
  <dc:description/>
  <dc:language>en-US</dc:language>
  <cp:lastModifiedBy>Детский Сад Будино</cp:lastModifiedBy>
  <cp:revision>6</cp:revision>
  <dcterms:created xsi:type="dcterms:W3CDTF">2020-11-17T18:36:00Z</dcterms:created>
  <dcterms:modified xsi:type="dcterms:W3CDTF">2024-10-31T13:07:21Z</dcterms:modified>
</cp:coreProperties>
</file>